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B5385D">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w:t>
      </w:r>
      <w:r w:rsidR="00B5385D">
        <w:rPr>
          <w:rFonts w:ascii="Arial" w:eastAsia="MS Mincho" w:hAnsi="Arial" w:cs="Arial"/>
          <w:b/>
          <w:sz w:val="24"/>
          <w:szCs w:val="24"/>
          <w:lang w:val="en-US"/>
        </w:rPr>
        <w:t>10</w:t>
      </w:r>
      <w:r w:rsidR="00CA61A8">
        <w:rPr>
          <w:rFonts w:ascii="Arial" w:eastAsia="MS Mincho" w:hAnsi="Arial" w:cs="Arial"/>
          <w:b/>
          <w:sz w:val="24"/>
          <w:szCs w:val="24"/>
          <w:lang w:val="en-US"/>
        </w:rPr>
        <w:t>6296</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 xml:space="preserve">Electronic Meeting, </w:t>
      </w:r>
      <w:r w:rsidR="00B5385D">
        <w:rPr>
          <w:rFonts w:eastAsia="宋体"/>
          <w:b/>
          <w:sz w:val="24"/>
          <w:szCs w:val="24"/>
          <w:lang w:val="en-US" w:eastAsia="zh-CN"/>
        </w:rPr>
        <w:t>25</w:t>
      </w:r>
      <w:r w:rsidR="00EF408F" w:rsidRPr="00EF408F">
        <w:rPr>
          <w:rFonts w:eastAsia="宋体"/>
          <w:b/>
          <w:sz w:val="24"/>
          <w:szCs w:val="24"/>
          <w:vertAlign w:val="superscript"/>
          <w:lang w:val="en-US" w:eastAsia="zh-CN"/>
        </w:rPr>
        <w:t>th</w:t>
      </w:r>
      <w:r w:rsidR="00B5385D">
        <w:rPr>
          <w:rFonts w:eastAsia="宋体"/>
          <w:b/>
          <w:sz w:val="24"/>
          <w:szCs w:val="24"/>
          <w:lang w:val="en-US" w:eastAsia="zh-CN"/>
        </w:rPr>
        <w:t xml:space="preserve"> </w:t>
      </w:r>
      <w:r w:rsidR="00B5385D">
        <w:rPr>
          <w:rFonts w:eastAsia="宋体" w:hint="eastAsia"/>
          <w:b/>
          <w:sz w:val="24"/>
          <w:szCs w:val="24"/>
          <w:lang w:val="en-US" w:eastAsia="zh-CN"/>
        </w:rPr>
        <w:t>Jan</w:t>
      </w:r>
      <w:r w:rsidRPr="00401396">
        <w:rPr>
          <w:rFonts w:eastAsia="宋体"/>
          <w:b/>
          <w:sz w:val="24"/>
          <w:szCs w:val="24"/>
          <w:lang w:val="en-US" w:eastAsia="zh-CN"/>
        </w:rPr>
        <w:t>-</w:t>
      </w:r>
      <w:r w:rsidR="00B5385D">
        <w:rPr>
          <w:rFonts w:eastAsia="宋体"/>
          <w:b/>
          <w:sz w:val="24"/>
          <w:szCs w:val="24"/>
          <w:lang w:val="en-US" w:eastAsia="zh-CN"/>
        </w:rPr>
        <w:t xml:space="preserve"> 5</w:t>
      </w:r>
      <w:r w:rsidR="00EF408F" w:rsidRPr="00EF408F">
        <w:rPr>
          <w:rFonts w:eastAsia="宋体"/>
          <w:b/>
          <w:sz w:val="24"/>
          <w:szCs w:val="24"/>
          <w:vertAlign w:val="superscript"/>
          <w:lang w:val="en-US" w:eastAsia="zh-CN"/>
        </w:rPr>
        <w:t>th</w:t>
      </w:r>
      <w:r w:rsidRPr="00401396">
        <w:rPr>
          <w:rFonts w:eastAsia="宋体"/>
          <w:b/>
          <w:sz w:val="24"/>
          <w:szCs w:val="24"/>
          <w:lang w:val="en-US" w:eastAsia="zh-CN"/>
        </w:rPr>
        <w:t xml:space="preserve"> </w:t>
      </w:r>
      <w:r w:rsidR="00B5385D">
        <w:rPr>
          <w:rFonts w:eastAsia="宋体" w:hint="eastAsia"/>
          <w:b/>
          <w:sz w:val="24"/>
          <w:szCs w:val="24"/>
          <w:lang w:val="en-US" w:eastAsia="zh-CN"/>
        </w:rPr>
        <w:t>Feb</w:t>
      </w:r>
      <w:r w:rsidRPr="00401396">
        <w:rPr>
          <w:rFonts w:eastAsia="宋体"/>
          <w:b/>
          <w:sz w:val="24"/>
          <w:szCs w:val="24"/>
          <w:lang w:val="en-US" w:eastAsia="zh-CN"/>
        </w:rPr>
        <w:t>.,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081ABB">
        <w:rPr>
          <w:rFonts w:ascii="Arial" w:hAnsi="Arial"/>
          <w:sz w:val="24"/>
          <w:lang w:val="en-US"/>
        </w:rPr>
        <w:t xml:space="preserve">V2X HPUE power class signaling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951CF8">
        <w:rPr>
          <w:rFonts w:ascii="Arial" w:hAnsi="Arial"/>
          <w:sz w:val="24"/>
          <w:lang w:val="pt-BR"/>
        </w:rPr>
        <w:t>8.10.6.3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HPUE </w:t>
      </w:r>
      <w:r w:rsidR="00081ABB">
        <w:rPr>
          <w:lang w:val="en-US" w:eastAsia="zh-CN"/>
        </w:rPr>
        <w:t>power class signaling issue has been</w:t>
      </w:r>
      <w:r w:rsidR="00951CF8">
        <w:rPr>
          <w:lang w:val="en-US" w:eastAsia="zh-CN"/>
        </w:rPr>
        <w:t xml:space="preserve"> discussed in RAN4#98-e and a WF[1] has been agreed</w:t>
      </w:r>
      <w:r w:rsidR="00984A1B">
        <w:rPr>
          <w:lang w:val="en-US" w:eastAsia="zh-CN"/>
        </w:rPr>
        <w:t>.</w:t>
      </w:r>
      <w:r w:rsidR="00951CF8">
        <w:rPr>
          <w:lang w:val="en-US" w:eastAsia="zh-CN"/>
        </w:rPr>
        <w:t xml:space="preserve"> With further agreement on TxD signaling in WF[2] we try to have further discussion on the PC2 V2X UE report and the signaling of V2X HPUE.</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951CF8" w:rsidRPr="00951CF8" w:rsidRDefault="00951CF8" w:rsidP="00951CF8">
      <w:pPr>
        <w:rPr>
          <w:lang w:val="en-US" w:eastAsia="zh-CN"/>
        </w:rPr>
      </w:pPr>
      <w:r>
        <w:rPr>
          <w:lang w:val="en-US" w:eastAsia="zh-CN"/>
        </w:rPr>
        <w:t>The issues listed in the WF[1] on V2X HPUE signaling are captured below:</w:t>
      </w:r>
    </w:p>
    <w:p w:rsidR="00DB1B79" w:rsidRPr="008C26C5" w:rsidRDefault="00DB1B79" w:rsidP="00DB1B79">
      <w:pPr>
        <w:numPr>
          <w:ilvl w:val="1"/>
          <w:numId w:val="4"/>
        </w:numPr>
        <w:rPr>
          <w:lang w:val="en-US" w:eastAsia="zh-CN"/>
        </w:rPr>
      </w:pPr>
      <w:r w:rsidRPr="008C26C5">
        <w:rPr>
          <w:lang w:eastAsia="zh-CN"/>
        </w:rPr>
        <w:t xml:space="preserve">Issue 1-5: Clarification on reporting the power class for UE with PC2 under SL MIMO </w:t>
      </w:r>
    </w:p>
    <w:p w:rsidR="00DB1B79" w:rsidRPr="008C26C5" w:rsidRDefault="00DB1B79" w:rsidP="00DB1B79">
      <w:pPr>
        <w:numPr>
          <w:ilvl w:val="2"/>
          <w:numId w:val="4"/>
        </w:numPr>
        <w:rPr>
          <w:lang w:val="en-US" w:eastAsia="zh-CN"/>
        </w:rPr>
      </w:pPr>
      <w:r w:rsidRPr="008C26C5">
        <w:rPr>
          <w:lang w:val="en-US" w:eastAsia="zh-CN"/>
        </w:rPr>
        <w:t>Whether to introduce PC2 UE capability will be further discussed together with issue 1-7.</w:t>
      </w:r>
    </w:p>
    <w:p w:rsidR="00DB1B79" w:rsidRPr="008C26C5" w:rsidRDefault="00DB1B79" w:rsidP="00DB1B79">
      <w:pPr>
        <w:numPr>
          <w:ilvl w:val="1"/>
          <w:numId w:val="4"/>
        </w:numPr>
        <w:rPr>
          <w:lang w:val="en-US" w:eastAsia="zh-CN"/>
        </w:rPr>
      </w:pPr>
      <w:r w:rsidRPr="008C26C5">
        <w:rPr>
          <w:lang w:eastAsia="zh-CN"/>
        </w:rPr>
        <w:t xml:space="preserve">Issue 1-6: PC2 for inter-band con-current operation </w:t>
      </w:r>
    </w:p>
    <w:p w:rsidR="00DB1B79" w:rsidRPr="008C26C5" w:rsidRDefault="00DB1B79" w:rsidP="00DB1B79">
      <w:pPr>
        <w:numPr>
          <w:ilvl w:val="2"/>
          <w:numId w:val="4"/>
        </w:numPr>
        <w:rPr>
          <w:lang w:val="en-US" w:eastAsia="zh-CN"/>
        </w:rPr>
      </w:pPr>
      <w:r w:rsidRPr="008C26C5">
        <w:rPr>
          <w:b/>
          <w:bCs/>
          <w:lang w:val="en-US" w:eastAsia="zh-CN"/>
        </w:rPr>
        <w:t>Agreement</w:t>
      </w:r>
    </w:p>
    <w:p w:rsidR="00DB1B79" w:rsidRPr="008C26C5" w:rsidRDefault="00DB1B79" w:rsidP="00DB1B79">
      <w:pPr>
        <w:ind w:left="2160"/>
        <w:rPr>
          <w:lang w:val="en-US" w:eastAsia="zh-CN"/>
        </w:rPr>
      </w:pPr>
      <w:r w:rsidRPr="008C26C5">
        <w:rPr>
          <w:lang w:val="en-US" w:eastAsia="zh-CN"/>
        </w:rPr>
        <w:t>It is agreed to introduce PC2 for inter-band con-current operation in Rel-17.</w:t>
      </w:r>
    </w:p>
    <w:p w:rsidR="00DB1B79" w:rsidRPr="008C26C5" w:rsidRDefault="00DB1B79" w:rsidP="00DB1B79">
      <w:pPr>
        <w:numPr>
          <w:ilvl w:val="1"/>
          <w:numId w:val="4"/>
        </w:numPr>
        <w:rPr>
          <w:lang w:val="en-US" w:eastAsia="zh-CN"/>
        </w:rPr>
      </w:pPr>
      <w:r w:rsidRPr="008C26C5">
        <w:rPr>
          <w:lang w:eastAsia="zh-CN"/>
        </w:rPr>
        <w:t xml:space="preserve">Issue 1-7: Signalling for PC2 V2X </w:t>
      </w:r>
    </w:p>
    <w:p w:rsidR="00DB1B79" w:rsidRPr="008C26C5" w:rsidRDefault="00DB1B79" w:rsidP="00DB1B79">
      <w:pPr>
        <w:numPr>
          <w:ilvl w:val="2"/>
          <w:numId w:val="4"/>
        </w:numPr>
        <w:rPr>
          <w:lang w:val="en-US" w:eastAsia="zh-CN"/>
        </w:rPr>
      </w:pPr>
      <w:r w:rsidRPr="008C26C5">
        <w:rPr>
          <w:b/>
          <w:bCs/>
          <w:lang w:val="en-US" w:eastAsia="zh-CN"/>
        </w:rPr>
        <w:t>WF</w:t>
      </w:r>
    </w:p>
    <w:p w:rsidR="00DB1B79" w:rsidRPr="008C26C5" w:rsidRDefault="00DB1B79" w:rsidP="00DB1B79">
      <w:pPr>
        <w:ind w:left="2160"/>
        <w:rPr>
          <w:lang w:val="en-US" w:eastAsia="zh-CN"/>
        </w:rPr>
      </w:pPr>
      <w:r w:rsidRPr="008C26C5">
        <w:rPr>
          <w:lang w:val="en-US" w:eastAsia="zh-CN"/>
        </w:rPr>
        <w:t>To be further discussed</w:t>
      </w:r>
    </w:p>
    <w:p w:rsidR="00546130" w:rsidRDefault="00546130" w:rsidP="00480F2E">
      <w:r>
        <w:rPr>
          <w:rFonts w:hint="eastAsia"/>
          <w:lang w:val="en-US" w:eastAsia="zh-CN"/>
        </w:rPr>
        <w:t>F</w:t>
      </w:r>
      <w:r>
        <w:rPr>
          <w:lang w:val="en-US" w:eastAsia="zh-CN"/>
        </w:rPr>
        <w:t xml:space="preserve">irstly, we can observe from issue 1-6 that at least PC2 for inter-band con-current operation is introduced. We know that the IE </w:t>
      </w:r>
      <w:r w:rsidRPr="00546130">
        <w:rPr>
          <w:i/>
          <w:lang w:val="en-US" w:eastAsia="zh-CN"/>
        </w:rPr>
        <w:t>powerclass</w:t>
      </w:r>
      <w:r>
        <w:rPr>
          <w:lang w:val="en-US" w:eastAsia="zh-CN"/>
        </w:rPr>
        <w:t xml:space="preserve"> is defined per band combination to indicate </w:t>
      </w:r>
      <w:r w:rsidR="0011094C">
        <w:rPr>
          <w:lang w:val="en-US" w:eastAsia="zh-CN"/>
        </w:rPr>
        <w:t xml:space="preserve">the power capability of the UE on each band combination and also IE </w:t>
      </w:r>
      <w:r w:rsidR="0011094C" w:rsidRPr="0011094C">
        <w:rPr>
          <w:i/>
        </w:rPr>
        <w:t>ue-PowerClass</w:t>
      </w:r>
      <w:r w:rsidR="0011094C">
        <w:rPr>
          <w:i/>
        </w:rPr>
        <w:t xml:space="preserve"> </w:t>
      </w:r>
      <w:r w:rsidR="0011094C">
        <w:t>is defined per band. With the capability signalling, the UE power class are reported to network and hence network can schedule the max power of each UE accordingly.</w:t>
      </w:r>
    </w:p>
    <w:p w:rsidR="0062790E" w:rsidRDefault="0062790E" w:rsidP="0062790E">
      <w:pPr>
        <w:jc w:val="center"/>
      </w:pPr>
      <w:r>
        <w:rPr>
          <w:noProof/>
          <w:lang w:val="en-US" w:eastAsia="zh-CN"/>
        </w:rPr>
        <w:drawing>
          <wp:inline distT="0" distB="0" distL="0" distR="0" wp14:anchorId="616BC278" wp14:editId="638D217F">
            <wp:extent cx="5921253" cy="647756"/>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21253" cy="647756"/>
                    </a:xfrm>
                    <a:prstGeom prst="rect">
                      <a:avLst/>
                    </a:prstGeom>
                  </pic:spPr>
                </pic:pic>
              </a:graphicData>
            </a:graphic>
          </wp:inline>
        </w:drawing>
      </w:r>
    </w:p>
    <w:p w:rsidR="0011094C" w:rsidRPr="0062790E" w:rsidRDefault="0011094C" w:rsidP="00480F2E">
      <w:r>
        <w:t xml:space="preserve">For V2X UE, capability report is still valid and hence the capability IE are still valid. However, the IE </w:t>
      </w:r>
      <w:r w:rsidRPr="003824FC">
        <w:rPr>
          <w:i/>
        </w:rPr>
        <w:t>powerclass</w:t>
      </w:r>
      <w:r>
        <w:t xml:space="preserve"> and </w:t>
      </w:r>
      <w:r w:rsidRPr="003824FC">
        <w:rPr>
          <w:i/>
        </w:rPr>
        <w:t>ue-powerclass</w:t>
      </w:r>
      <w:r w:rsidR="0062790E">
        <w:t xml:space="preserve"> report to the network about the power capability of the UE on Uu interface but the message of the power capability on PC5 interface is missing. Based on that, the high power capability IE </w:t>
      </w:r>
      <w:r w:rsidR="0062790E" w:rsidRPr="006B166F">
        <w:rPr>
          <w:i/>
        </w:rPr>
        <w:t>v2x-HighPower-r14</w:t>
      </w:r>
      <w:r w:rsidR="0062790E">
        <w:rPr>
          <w:i/>
        </w:rPr>
        <w:t xml:space="preserve"> </w:t>
      </w:r>
      <w:r w:rsidR="0062790E">
        <w:t>is defined in TS 36.306 to indicate to network about the PC2 capability.</w:t>
      </w:r>
    </w:p>
    <w:p w:rsidR="0011094C" w:rsidRPr="0011094C" w:rsidRDefault="0062790E" w:rsidP="0062790E">
      <w:pPr>
        <w:jc w:val="center"/>
        <w:rPr>
          <w:lang w:val="en-US" w:eastAsia="zh-CN"/>
        </w:rPr>
      </w:pPr>
      <w:r>
        <w:rPr>
          <w:noProof/>
          <w:lang w:val="en-US" w:eastAsia="zh-CN"/>
        </w:rPr>
        <w:drawing>
          <wp:inline distT="0" distB="0" distL="0" distR="0" wp14:anchorId="28DE7F66" wp14:editId="7ACA3E8C">
            <wp:extent cx="5622085" cy="571500"/>
            <wp:effectExtent l="19050" t="19050" r="17145" b="190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68340" cy="576202"/>
                    </a:xfrm>
                    <a:prstGeom prst="rect">
                      <a:avLst/>
                    </a:prstGeom>
                    <a:ln>
                      <a:solidFill>
                        <a:schemeClr val="tx1"/>
                      </a:solidFill>
                    </a:ln>
                  </pic:spPr>
                </pic:pic>
              </a:graphicData>
            </a:graphic>
          </wp:inline>
        </w:drawing>
      </w:r>
    </w:p>
    <w:p w:rsidR="0062790E" w:rsidRPr="0062790E" w:rsidRDefault="0062790E" w:rsidP="00480F2E">
      <w:pPr>
        <w:rPr>
          <w:b/>
          <w:lang w:val="en-US" w:eastAsia="zh-CN"/>
        </w:rPr>
      </w:pPr>
      <w:r w:rsidRPr="0062790E">
        <w:rPr>
          <w:rFonts w:hint="eastAsia"/>
          <w:b/>
          <w:lang w:val="en-US" w:eastAsia="zh-CN"/>
        </w:rPr>
        <w:t>O</w:t>
      </w:r>
      <w:r w:rsidRPr="0062790E">
        <w:rPr>
          <w:b/>
          <w:lang w:val="en-US" w:eastAsia="zh-CN"/>
        </w:rPr>
        <w:t xml:space="preserve">bservation 1: </w:t>
      </w:r>
      <w:r>
        <w:rPr>
          <w:b/>
          <w:lang w:val="en-US" w:eastAsia="zh-CN"/>
        </w:rPr>
        <w:t>The IE powerclass report to Network about the Uu interface power class capability, but the PC5 interface power capability report is missing.</w:t>
      </w:r>
    </w:p>
    <w:p w:rsidR="0062790E" w:rsidRPr="0062790E" w:rsidRDefault="0062790E" w:rsidP="00480F2E">
      <w:pPr>
        <w:rPr>
          <w:b/>
          <w:lang w:val="en-US" w:eastAsia="zh-CN"/>
        </w:rPr>
      </w:pPr>
      <w:r w:rsidRPr="0062790E">
        <w:rPr>
          <w:b/>
          <w:lang w:val="en-US" w:eastAsia="zh-CN"/>
        </w:rPr>
        <w:t>Observation 2: Specific IE to report PC2 V2X is designed for LTE V2X.</w:t>
      </w:r>
    </w:p>
    <w:p w:rsidR="0062790E" w:rsidRDefault="0062790E" w:rsidP="00480F2E">
      <w:pPr>
        <w:rPr>
          <w:lang w:val="en-US" w:eastAsia="zh-CN"/>
        </w:rPr>
      </w:pPr>
      <w:r>
        <w:rPr>
          <w:rFonts w:hint="eastAsia"/>
          <w:lang w:val="en-US" w:eastAsia="zh-CN"/>
        </w:rPr>
        <w:t>W</w:t>
      </w:r>
      <w:r>
        <w:rPr>
          <w:lang w:val="en-US" w:eastAsia="zh-CN"/>
        </w:rPr>
        <w:t>ith the above clarification, we hence believe that PC2 V2X power report IE is needed for NR V2X, too.</w:t>
      </w:r>
    </w:p>
    <w:p w:rsidR="0062790E" w:rsidRPr="006474F1" w:rsidRDefault="0062790E" w:rsidP="00480F2E">
      <w:pPr>
        <w:rPr>
          <w:b/>
          <w:lang w:val="en-US" w:eastAsia="zh-CN"/>
        </w:rPr>
      </w:pPr>
      <w:r w:rsidRPr="006474F1">
        <w:rPr>
          <w:b/>
          <w:lang w:val="en-US" w:eastAsia="zh-CN"/>
        </w:rPr>
        <w:t>Proposal 1: To define NR V2X PC2 capability signaling.</w:t>
      </w:r>
    </w:p>
    <w:p w:rsidR="00803B0C" w:rsidRDefault="006474F1" w:rsidP="00480F2E">
      <w:pPr>
        <w:rPr>
          <w:lang w:val="en-US" w:eastAsia="zh-CN"/>
        </w:rPr>
      </w:pPr>
      <w:r>
        <w:rPr>
          <w:lang w:val="en-US" w:eastAsia="zh-CN"/>
        </w:rPr>
        <w:t>Besides, t</w:t>
      </w:r>
      <w:r w:rsidR="00803B0C">
        <w:rPr>
          <w:rFonts w:hint="eastAsia"/>
          <w:lang w:val="en-US" w:eastAsia="zh-CN"/>
        </w:rPr>
        <w:t>he</w:t>
      </w:r>
      <w:r w:rsidR="00803B0C">
        <w:rPr>
          <w:lang w:val="en-US" w:eastAsia="zh-CN"/>
        </w:rPr>
        <w:t xml:space="preserve"> agreement of TXD signaling in WF</w:t>
      </w:r>
      <w:r>
        <w:rPr>
          <w:lang w:val="en-US" w:eastAsia="zh-CN"/>
        </w:rPr>
        <w:t xml:space="preserve"> </w:t>
      </w:r>
      <w:r w:rsidR="00803B0C">
        <w:rPr>
          <w:lang w:val="en-US" w:eastAsia="zh-CN"/>
        </w:rPr>
        <w:t>[2] is captured below as:</w:t>
      </w:r>
    </w:p>
    <w:p w:rsidR="00DB1B79" w:rsidRDefault="00951CF8" w:rsidP="00EA01BC">
      <w:pPr>
        <w:jc w:val="center"/>
        <w:rPr>
          <w:lang w:val="en-US" w:eastAsia="zh-CN"/>
        </w:rPr>
      </w:pPr>
      <w:r>
        <w:rPr>
          <w:lang w:val="en-US" w:eastAsia="zh-CN"/>
        </w:rPr>
        <w:lastRenderedPageBreak/>
        <w:t>.</w:t>
      </w:r>
      <w:r w:rsidR="00EA01BC" w:rsidRPr="00EA01BC">
        <w:rPr>
          <w:noProof/>
          <w:lang w:val="en-US" w:eastAsia="zh-CN"/>
        </w:rPr>
        <w:t xml:space="preserve"> </w:t>
      </w:r>
      <w:r w:rsidR="00EA01BC">
        <w:rPr>
          <w:noProof/>
          <w:lang w:val="en-US" w:eastAsia="zh-CN"/>
        </w:rPr>
        <w:drawing>
          <wp:inline distT="0" distB="0" distL="0" distR="0" wp14:anchorId="6B0F6602" wp14:editId="62507969">
            <wp:extent cx="5656929" cy="2910343"/>
            <wp:effectExtent l="19050" t="19050" r="20320"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9595" cy="2911715"/>
                    </a:xfrm>
                    <a:prstGeom prst="rect">
                      <a:avLst/>
                    </a:prstGeom>
                    <a:ln>
                      <a:solidFill>
                        <a:schemeClr val="tx1"/>
                      </a:solidFill>
                    </a:ln>
                  </pic:spPr>
                </pic:pic>
              </a:graphicData>
            </a:graphic>
          </wp:inline>
        </w:drawing>
      </w:r>
    </w:p>
    <w:p w:rsidR="00951CF8" w:rsidRDefault="006474F1" w:rsidP="00480F2E">
      <w:pPr>
        <w:rPr>
          <w:lang w:val="en-US" w:eastAsia="zh-CN"/>
        </w:rPr>
      </w:pPr>
      <w:r>
        <w:rPr>
          <w:rFonts w:hint="eastAsia"/>
          <w:lang w:val="en-US" w:eastAsia="zh-CN"/>
        </w:rPr>
        <w:t>I</w:t>
      </w:r>
      <w:r>
        <w:rPr>
          <w:lang w:val="en-US" w:eastAsia="zh-CN"/>
        </w:rPr>
        <w:t>t has indicated that to introduce a new per band capability signaling for TxD together with existing power classes. A</w:t>
      </w:r>
      <w:r w:rsidR="0079014C">
        <w:rPr>
          <w:lang w:val="en-US" w:eastAsia="zh-CN"/>
        </w:rPr>
        <w:t>s</w:t>
      </w:r>
      <w:r>
        <w:rPr>
          <w:lang w:val="en-US" w:eastAsia="zh-CN"/>
        </w:rPr>
        <w:t xml:space="preserve"> the capability is not defined yet in RAN2, we </w:t>
      </w:r>
      <w:r w:rsidR="0079014C">
        <w:rPr>
          <w:lang w:val="en-US" w:eastAsia="zh-CN"/>
        </w:rPr>
        <w:t>just</w:t>
      </w:r>
      <w:r>
        <w:rPr>
          <w:lang w:val="en-US" w:eastAsia="zh-CN"/>
        </w:rPr>
        <w:t xml:space="preserve"> imagine that the capability IE will be similar to power class IE and this IE will also be applicable to Uu interface.</w:t>
      </w:r>
      <w:r w:rsidR="0079014C">
        <w:rPr>
          <w:lang w:val="en-US" w:eastAsia="zh-CN"/>
        </w:rPr>
        <w:t xml:space="preserve"> </w:t>
      </w:r>
    </w:p>
    <w:p w:rsidR="0079014C" w:rsidRPr="0079014C" w:rsidRDefault="0079014C" w:rsidP="00480F2E">
      <w:pPr>
        <w:rPr>
          <w:b/>
          <w:lang w:val="en-US" w:eastAsia="zh-CN"/>
        </w:rPr>
      </w:pPr>
      <w:r w:rsidRPr="0079014C">
        <w:rPr>
          <w:b/>
          <w:lang w:val="en-US" w:eastAsia="zh-CN"/>
        </w:rPr>
        <w:t>Observation 3: TXD capability signaling can be defined for V2X, which is similar to NR TXD capability signaling.</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D42672">
        <w:rPr>
          <w:lang w:val="en-US" w:eastAsia="zh-CN"/>
        </w:rPr>
        <w:t xml:space="preserve"> signaling</w:t>
      </w:r>
      <w:r w:rsidR="00323263">
        <w:rPr>
          <w:lang w:val="en-US" w:eastAsia="zh-CN"/>
        </w:rPr>
        <w:t xml:space="preserve"> and the observations are shown as below</w:t>
      </w:r>
      <w:r w:rsidR="00323263">
        <w:rPr>
          <w:rFonts w:hint="eastAsia"/>
          <w:lang w:val="en-US" w:eastAsia="zh-CN"/>
        </w:rPr>
        <w:t>：</w:t>
      </w:r>
    </w:p>
    <w:p w:rsidR="0079014C" w:rsidRPr="0062790E" w:rsidRDefault="0079014C" w:rsidP="0079014C">
      <w:pPr>
        <w:rPr>
          <w:b/>
          <w:lang w:val="en-US" w:eastAsia="zh-CN"/>
        </w:rPr>
      </w:pPr>
      <w:r w:rsidRPr="0062790E">
        <w:rPr>
          <w:rFonts w:hint="eastAsia"/>
          <w:b/>
          <w:lang w:val="en-US" w:eastAsia="zh-CN"/>
        </w:rPr>
        <w:t>O</w:t>
      </w:r>
      <w:r w:rsidRPr="0062790E">
        <w:rPr>
          <w:b/>
          <w:lang w:val="en-US" w:eastAsia="zh-CN"/>
        </w:rPr>
        <w:t xml:space="preserve">bservation 1: </w:t>
      </w:r>
      <w:r>
        <w:rPr>
          <w:b/>
          <w:lang w:val="en-US" w:eastAsia="zh-CN"/>
        </w:rPr>
        <w:t>The IE powerclass report to Network about the Uu interface power class capability, but the PC5 interface power capability report is missing.</w:t>
      </w:r>
    </w:p>
    <w:p w:rsidR="0079014C" w:rsidRDefault="0079014C" w:rsidP="0079014C">
      <w:pPr>
        <w:rPr>
          <w:b/>
          <w:lang w:val="en-US" w:eastAsia="zh-CN"/>
        </w:rPr>
      </w:pPr>
      <w:r w:rsidRPr="0062790E">
        <w:rPr>
          <w:b/>
          <w:lang w:val="en-US" w:eastAsia="zh-CN"/>
        </w:rPr>
        <w:t>Observation 2: Specific IE to report PC2 V2X is designed for LTE V2X.</w:t>
      </w:r>
    </w:p>
    <w:p w:rsidR="0079014C" w:rsidRPr="006474F1" w:rsidRDefault="0079014C" w:rsidP="0079014C">
      <w:pPr>
        <w:rPr>
          <w:b/>
          <w:lang w:val="en-US" w:eastAsia="zh-CN"/>
        </w:rPr>
      </w:pPr>
      <w:r w:rsidRPr="006474F1">
        <w:rPr>
          <w:b/>
          <w:lang w:val="en-US" w:eastAsia="zh-CN"/>
        </w:rPr>
        <w:t>Proposal 1: To define NR V2X PC2 capability signaling.</w:t>
      </w:r>
    </w:p>
    <w:p w:rsidR="0079014C" w:rsidRPr="0079014C" w:rsidRDefault="0079014C" w:rsidP="0079014C">
      <w:pPr>
        <w:rPr>
          <w:b/>
          <w:lang w:val="en-US" w:eastAsia="zh-CN"/>
        </w:rPr>
      </w:pPr>
      <w:r w:rsidRPr="0079014C">
        <w:rPr>
          <w:b/>
          <w:lang w:val="en-US" w:eastAsia="zh-CN"/>
        </w:rPr>
        <w:t>Observation 3: TXD capability signaling can be defined for V2X, which is similar to NR TXD capability signaling.</w:t>
      </w:r>
    </w:p>
    <w:p w:rsidR="00DB2AC9" w:rsidRPr="000A4C5A" w:rsidRDefault="00DB2AC9" w:rsidP="00DB2AC9">
      <w:pPr>
        <w:pStyle w:val="1"/>
      </w:pPr>
      <w:r w:rsidRPr="000A4C5A">
        <w:rPr>
          <w:rFonts w:hint="eastAsia"/>
        </w:rPr>
        <w:t>Reference</w:t>
      </w:r>
    </w:p>
    <w:bookmarkEnd w:id="2"/>
    <w:p w:rsidR="00CA6327" w:rsidRDefault="00081ABB" w:rsidP="00081ABB">
      <w:pPr>
        <w:numPr>
          <w:ilvl w:val="0"/>
          <w:numId w:val="2"/>
        </w:numPr>
        <w:rPr>
          <w:lang w:val="en-US" w:eastAsia="zh-CN"/>
        </w:rPr>
      </w:pPr>
      <w:r w:rsidRPr="00081ABB">
        <w:rPr>
          <w:lang w:val="en-US" w:eastAsia="zh-CN"/>
        </w:rPr>
        <w:t>R4-2011848</w:t>
      </w:r>
      <w:r w:rsidRPr="00081ABB">
        <w:rPr>
          <w:lang w:val="en-US" w:eastAsia="zh-CN"/>
        </w:rPr>
        <w:tab/>
        <w:t>Email discussion summary for [96e][108] 5G_V2X_NRSL_UE_RF</w:t>
      </w:r>
      <w:r>
        <w:rPr>
          <w:lang w:val="en-US" w:eastAsia="zh-CN"/>
        </w:rPr>
        <w:t xml:space="preserve">, </w:t>
      </w:r>
      <w:r w:rsidRPr="00081ABB">
        <w:rPr>
          <w:lang w:val="en-US" w:eastAsia="zh-CN"/>
        </w:rPr>
        <w:t>Moderator (LG Electronics)</w:t>
      </w:r>
    </w:p>
    <w:p w:rsidR="00C83690" w:rsidRPr="00C83690" w:rsidRDefault="00C83690" w:rsidP="00081ABB">
      <w:pPr>
        <w:numPr>
          <w:ilvl w:val="0"/>
          <w:numId w:val="2"/>
        </w:numPr>
        <w:rPr>
          <w:lang w:val="en-US" w:eastAsia="zh-CN"/>
        </w:rPr>
      </w:pPr>
      <w:r>
        <w:rPr>
          <w:lang w:eastAsia="zh-CN"/>
        </w:rPr>
        <w:t>R4-2005652</w:t>
      </w:r>
      <w:r>
        <w:rPr>
          <w:lang w:eastAsia="zh-CN"/>
        </w:rPr>
        <w:tab/>
      </w:r>
      <w:r w:rsidRPr="00C83690">
        <w:rPr>
          <w:lang w:eastAsia="zh-CN"/>
        </w:rPr>
        <w:t>WF on Uplink Full Power Transmission</w:t>
      </w:r>
      <w:r>
        <w:rPr>
          <w:lang w:eastAsia="zh-CN"/>
        </w:rPr>
        <w:t>, Samsung</w:t>
      </w:r>
    </w:p>
    <w:p w:rsidR="00C83690" w:rsidRDefault="00C83690" w:rsidP="00081ABB">
      <w:pPr>
        <w:numPr>
          <w:ilvl w:val="0"/>
          <w:numId w:val="2"/>
        </w:numPr>
        <w:rPr>
          <w:lang w:val="en-US" w:eastAsia="zh-CN"/>
        </w:rPr>
      </w:pPr>
      <w:r>
        <w:rPr>
          <w:lang w:eastAsia="zh-CN"/>
        </w:rPr>
        <w:t>R4-2016830</w:t>
      </w:r>
      <w:r>
        <w:rPr>
          <w:lang w:eastAsia="zh-CN"/>
        </w:rPr>
        <w:tab/>
      </w:r>
      <w:r w:rsidRPr="00C83690">
        <w:rPr>
          <w:lang w:eastAsia="zh-CN"/>
        </w:rPr>
        <w:t>Way Forward on NR TxD &amp; Power Class</w:t>
      </w:r>
      <w:r>
        <w:rPr>
          <w:lang w:eastAsia="zh-CN"/>
        </w:rPr>
        <w:t>, VIVO</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700" w:rsidRDefault="009A2700" w:rsidP="00DB2AC9">
      <w:pPr>
        <w:spacing w:after="0"/>
      </w:pPr>
      <w:r>
        <w:separator/>
      </w:r>
    </w:p>
  </w:endnote>
  <w:endnote w:type="continuationSeparator" w:id="0">
    <w:p w:rsidR="009A2700" w:rsidRDefault="009A2700"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700" w:rsidRDefault="009A2700" w:rsidP="00DB2AC9">
      <w:pPr>
        <w:spacing w:after="0"/>
      </w:pPr>
      <w:r>
        <w:separator/>
      </w:r>
    </w:p>
  </w:footnote>
  <w:footnote w:type="continuationSeparator" w:id="0">
    <w:p w:rsidR="009A2700" w:rsidRDefault="009A2700"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81ABB"/>
    <w:rsid w:val="0011094C"/>
    <w:rsid w:val="00115B38"/>
    <w:rsid w:val="00153FF0"/>
    <w:rsid w:val="0019167E"/>
    <w:rsid w:val="001E0BF5"/>
    <w:rsid w:val="001F4672"/>
    <w:rsid w:val="00260C91"/>
    <w:rsid w:val="00263744"/>
    <w:rsid w:val="00284B35"/>
    <w:rsid w:val="002A553E"/>
    <w:rsid w:val="002C2022"/>
    <w:rsid w:val="002D2F74"/>
    <w:rsid w:val="00323263"/>
    <w:rsid w:val="00345A95"/>
    <w:rsid w:val="003824FC"/>
    <w:rsid w:val="00401396"/>
    <w:rsid w:val="00477BCE"/>
    <w:rsid w:val="00480F2E"/>
    <w:rsid w:val="004C1C43"/>
    <w:rsid w:val="00517EAB"/>
    <w:rsid w:val="0052288E"/>
    <w:rsid w:val="00546130"/>
    <w:rsid w:val="005662AB"/>
    <w:rsid w:val="00594B57"/>
    <w:rsid w:val="005B1762"/>
    <w:rsid w:val="005C016E"/>
    <w:rsid w:val="005C73C6"/>
    <w:rsid w:val="0062790E"/>
    <w:rsid w:val="006318F5"/>
    <w:rsid w:val="00641E42"/>
    <w:rsid w:val="006474F1"/>
    <w:rsid w:val="00692D6B"/>
    <w:rsid w:val="00773B7D"/>
    <w:rsid w:val="0079014C"/>
    <w:rsid w:val="007F54FC"/>
    <w:rsid w:val="008006DE"/>
    <w:rsid w:val="00803B0C"/>
    <w:rsid w:val="00805BF5"/>
    <w:rsid w:val="00871B03"/>
    <w:rsid w:val="008D0CAC"/>
    <w:rsid w:val="00951CF8"/>
    <w:rsid w:val="00984A1B"/>
    <w:rsid w:val="00992D9C"/>
    <w:rsid w:val="009A2700"/>
    <w:rsid w:val="009B75C0"/>
    <w:rsid w:val="00A04E47"/>
    <w:rsid w:val="00A10E75"/>
    <w:rsid w:val="00A24FEA"/>
    <w:rsid w:val="00A3401F"/>
    <w:rsid w:val="00A46759"/>
    <w:rsid w:val="00A652AE"/>
    <w:rsid w:val="00A84FCD"/>
    <w:rsid w:val="00AC0B92"/>
    <w:rsid w:val="00B03CB3"/>
    <w:rsid w:val="00B454C2"/>
    <w:rsid w:val="00B5385D"/>
    <w:rsid w:val="00B95EA3"/>
    <w:rsid w:val="00BA648E"/>
    <w:rsid w:val="00BB408C"/>
    <w:rsid w:val="00BE2F01"/>
    <w:rsid w:val="00C37E83"/>
    <w:rsid w:val="00C42119"/>
    <w:rsid w:val="00C7497C"/>
    <w:rsid w:val="00C75255"/>
    <w:rsid w:val="00C83690"/>
    <w:rsid w:val="00CA61A8"/>
    <w:rsid w:val="00CA6327"/>
    <w:rsid w:val="00CA75C2"/>
    <w:rsid w:val="00CB6C89"/>
    <w:rsid w:val="00CE6AC7"/>
    <w:rsid w:val="00CF3C50"/>
    <w:rsid w:val="00D03608"/>
    <w:rsid w:val="00D15177"/>
    <w:rsid w:val="00D30509"/>
    <w:rsid w:val="00D42672"/>
    <w:rsid w:val="00D607D4"/>
    <w:rsid w:val="00D938AB"/>
    <w:rsid w:val="00DB1B79"/>
    <w:rsid w:val="00DB2AC9"/>
    <w:rsid w:val="00DD4592"/>
    <w:rsid w:val="00E02E23"/>
    <w:rsid w:val="00E47A6C"/>
    <w:rsid w:val="00E54E8F"/>
    <w:rsid w:val="00E9533D"/>
    <w:rsid w:val="00EA01BC"/>
    <w:rsid w:val="00EB6689"/>
    <w:rsid w:val="00EF408F"/>
    <w:rsid w:val="00EF4F82"/>
    <w:rsid w:val="00F00E31"/>
    <w:rsid w:val="00F51CE6"/>
    <w:rsid w:val="00F93B56"/>
    <w:rsid w:val="00FA6A5D"/>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0668D"/>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C79C8-E6C6-443C-8CD2-18F6B2A7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2</Pages>
  <Words>501</Words>
  <Characters>2861</Characters>
  <Application>Microsoft Office Word</Application>
  <DocSecurity>0</DocSecurity>
  <Lines>23</Lines>
  <Paragraphs>6</Paragraphs>
  <ScaleCrop>false</ScaleCrop>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30</cp:revision>
  <dcterms:created xsi:type="dcterms:W3CDTF">2020-08-06T01:43:00Z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